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맑은 고딕" w:hAnsi="맑은 고딕" w:eastAsia="맑은 고딕"/>
          <w:b/>
          <w:color w:val="8C6A3A"/>
          <w:sz w:val="36"/>
        </w:rPr>
        <w:t>2026년 혁신 소상공인 AI 활용지원 사업</w:t>
        <w:br/>
        <w:t>사 업 계 획 서</w:t>
      </w:r>
    </w:p>
    <w:p>
      <w:pPr>
        <w:jc w:val="center"/>
      </w:pPr>
      <w:r>
        <w:rPr>
          <w:rFonts w:ascii="맑은 고딕" w:hAnsi="맑은 고딕" w:eastAsia="맑은 고딕"/>
          <w:sz w:val="24"/>
        </w:rPr>
        <w:t>강산건축디자인  |  대표 권민재</w:t>
      </w:r>
    </w:p>
    <w:p/>
    <w:p>
      <w:pPr>
        <w:pStyle w:val="Heading1"/>
      </w:pPr>
      <w:r>
        <w:rPr>
          <w:rFonts w:ascii="맑은 고딕" w:hAnsi="맑은 고딕" w:eastAsia="맑은 고딕"/>
          <w:b/>
          <w:color w:val="8C6A3A"/>
          <w:sz w:val="28"/>
        </w:rPr>
        <w:t>0. 신청기업 개요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945"/>
        <w:gridCol w:w="4945"/>
      </w:tblGrid>
      <w:tr>
        <w:trPr>
          <w:cantSplit/>
        </w:trPr>
        <w:tc>
          <w:tcPr>
            <w:tcW w:type="dxa" w:w="494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항목</w:t>
            </w:r>
          </w:p>
        </w:tc>
        <w:tc>
          <w:tcPr>
            <w:tcW w:type="dxa" w:w="494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내용</w:t>
            </w:r>
          </w:p>
        </w:tc>
      </w:tr>
      <w:tr>
        <w:trPr>
          <w:cantSplit/>
        </w:trPr>
        <w:tc>
          <w:tcPr>
            <w:tcW w:type="dxa" w:w="4945"/>
          </w:tcPr>
          <w:p>
            <w:r/>
            <w:r>
              <w:rPr>
                <w:rFonts w:ascii="맑은 고딕" w:hAnsi="맑은 고딕" w:eastAsia="맑은 고딕"/>
                <w:sz w:val="19"/>
              </w:rPr>
              <w:t>상호</w:t>
            </w:r>
          </w:p>
        </w:tc>
        <w:tc>
          <w:tcPr>
            <w:tcW w:type="dxa" w:w="4945"/>
          </w:tcPr>
          <w:p>
            <w:r/>
            <w:r>
              <w:rPr>
                <w:rFonts w:ascii="맑은 고딕" w:hAnsi="맑은 고딕" w:eastAsia="맑은 고딕"/>
                <w:sz w:val="19"/>
              </w:rPr>
              <w:t>강산건축디자인</w:t>
            </w:r>
          </w:p>
        </w:tc>
      </w:tr>
      <w:tr>
        <w:trPr>
          <w:cantSplit/>
        </w:trPr>
        <w:tc>
          <w:tcPr>
            <w:tcW w:type="dxa" w:w="4945"/>
          </w:tcPr>
          <w:p>
            <w:r/>
            <w:r>
              <w:rPr>
                <w:rFonts w:ascii="맑은 고딕" w:hAnsi="맑은 고딕" w:eastAsia="맑은 고딕"/>
                <w:sz w:val="19"/>
              </w:rPr>
              <w:t>대표자</w:t>
            </w:r>
          </w:p>
        </w:tc>
        <w:tc>
          <w:tcPr>
            <w:tcW w:type="dxa" w:w="4945"/>
          </w:tcPr>
          <w:p>
            <w:r/>
            <w:r>
              <w:rPr>
                <w:rFonts w:ascii="맑은 고딕" w:hAnsi="맑은 고딕" w:eastAsia="맑은 고딕"/>
                <w:sz w:val="19"/>
              </w:rPr>
              <w:t>권민재</w:t>
            </w:r>
          </w:p>
        </w:tc>
      </w:tr>
      <w:tr>
        <w:trPr>
          <w:cantSplit/>
        </w:trPr>
        <w:tc>
          <w:tcPr>
            <w:tcW w:type="dxa" w:w="4945"/>
          </w:tcPr>
          <w:p>
            <w:r/>
            <w:r>
              <w:rPr>
                <w:rFonts w:ascii="맑은 고딕" w:hAnsi="맑은 고딕" w:eastAsia="맑은 고딕"/>
                <w:sz w:val="19"/>
              </w:rPr>
              <w:t>소재지</w:t>
            </w:r>
          </w:p>
        </w:tc>
        <w:tc>
          <w:tcPr>
            <w:tcW w:type="dxa" w:w="4945"/>
          </w:tcPr>
          <w:p>
            <w:r/>
            <w:r>
              <w:rPr>
                <w:rFonts w:ascii="맑은 고딕" w:hAnsi="맑은 고딕" w:eastAsia="맑은 고딕"/>
                <w:sz w:val="19"/>
              </w:rPr>
              <w:t>울산광역시 중구 종가17길 23 혜강빌딩 201호</w:t>
            </w:r>
          </w:p>
        </w:tc>
      </w:tr>
      <w:tr>
        <w:trPr>
          <w:cantSplit/>
        </w:trPr>
        <w:tc>
          <w:tcPr>
            <w:tcW w:type="dxa" w:w="4945"/>
          </w:tcPr>
          <w:p>
            <w:r/>
            <w:r>
              <w:rPr>
                <w:rFonts w:ascii="맑은 고딕" w:hAnsi="맑은 고딕" w:eastAsia="맑은 고딕"/>
                <w:sz w:val="19"/>
              </w:rPr>
              <w:t>업종</w:t>
            </w:r>
          </w:p>
        </w:tc>
        <w:tc>
          <w:tcPr>
            <w:tcW w:type="dxa" w:w="4945"/>
          </w:tcPr>
          <w:p>
            <w:r/>
            <w:r>
              <w:rPr>
                <w:rFonts w:ascii="맑은 고딕" w:hAnsi="맑은 고딕" w:eastAsia="맑은 고딕"/>
                <w:sz w:val="19"/>
              </w:rPr>
              <w:t>인테리어·건축 디자인 / 시각디자인업·실내건축공사업</w:t>
            </w:r>
          </w:p>
        </w:tc>
      </w:tr>
      <w:tr>
        <w:trPr>
          <w:cantSplit/>
        </w:trPr>
        <w:tc>
          <w:tcPr>
            <w:tcW w:type="dxa" w:w="4945"/>
          </w:tcPr>
          <w:p>
            <w:r/>
            <w:r>
              <w:rPr>
                <w:rFonts w:ascii="맑은 고딕" w:hAnsi="맑은 고딕" w:eastAsia="맑은 고딕"/>
                <w:sz w:val="19"/>
              </w:rPr>
              <w:t>개업</w:t>
            </w:r>
          </w:p>
        </w:tc>
        <w:tc>
          <w:tcPr>
            <w:tcW w:type="dxa" w:w="4945"/>
          </w:tcPr>
          <w:p>
            <w:r/>
            <w:r>
              <w:rPr>
                <w:rFonts w:ascii="맑은 고딕" w:hAnsi="맑은 고딕" w:eastAsia="맑은 고딕"/>
                <w:sz w:val="19"/>
              </w:rPr>
              <w:t>2023년 3월</w:t>
            </w:r>
          </w:p>
        </w:tc>
      </w:tr>
      <w:tr>
        <w:trPr>
          <w:cantSplit/>
        </w:trPr>
        <w:tc>
          <w:tcPr>
            <w:tcW w:type="dxa" w:w="4945"/>
          </w:tcPr>
          <w:p>
            <w:r/>
            <w:r>
              <w:rPr>
                <w:rFonts w:ascii="맑은 고딕" w:hAnsi="맑은 고딕" w:eastAsia="맑은 고딕"/>
                <w:sz w:val="19"/>
              </w:rPr>
              <w:t>연매출</w:t>
            </w:r>
          </w:p>
        </w:tc>
        <w:tc>
          <w:tcPr>
            <w:tcW w:type="dxa" w:w="4945"/>
          </w:tcPr>
          <w:p>
            <w:r/>
            <w:r>
              <w:rPr>
                <w:rFonts w:ascii="맑은 고딕" w:hAnsi="맑은 고딕" w:eastAsia="맑은 고딕"/>
                <w:sz w:val="19"/>
              </w:rPr>
              <w:t>[최근연도 매출 기재]</w:t>
            </w:r>
          </w:p>
        </w:tc>
      </w:tr>
      <w:tr>
        <w:trPr>
          <w:cantSplit/>
        </w:trPr>
        <w:tc>
          <w:tcPr>
            <w:tcW w:type="dxa" w:w="4945"/>
          </w:tcPr>
          <w:p>
            <w:r/>
            <w:r>
              <w:rPr>
                <w:rFonts w:ascii="맑은 고딕" w:hAnsi="맑은 고딕" w:eastAsia="맑은 고딕"/>
                <w:sz w:val="19"/>
              </w:rPr>
              <w:t>상시근로자</w:t>
            </w:r>
          </w:p>
        </w:tc>
        <w:tc>
          <w:tcPr>
            <w:tcW w:type="dxa" w:w="4945"/>
          </w:tcPr>
          <w:p>
            <w:r/>
            <w:r>
              <w:rPr>
                <w:rFonts w:ascii="맑은 고딕" w:hAnsi="맑은 고딕" w:eastAsia="맑은 고딕"/>
                <w:sz w:val="19"/>
              </w:rPr>
              <w:t>[N명]</w:t>
            </w:r>
          </w:p>
        </w:tc>
      </w:tr>
      <w:tr>
        <w:trPr>
          <w:cantSplit/>
        </w:trPr>
        <w:tc>
          <w:tcPr>
            <w:tcW w:type="dxa" w:w="4945"/>
          </w:tcPr>
          <w:p>
            <w:r/>
            <w:r>
              <w:rPr>
                <w:rFonts w:ascii="맑은 고딕" w:hAnsi="맑은 고딕" w:eastAsia="맑은 고딕"/>
                <w:sz w:val="19"/>
              </w:rPr>
              <w:t>홈페이지</w:t>
            </w:r>
          </w:p>
        </w:tc>
        <w:tc>
          <w:tcPr>
            <w:tcW w:type="dxa" w:w="4945"/>
          </w:tcPr>
          <w:p>
            <w:r/>
            <w:r>
              <w:rPr>
                <w:rFonts w:ascii="맑은 고딕" w:hAnsi="맑은 고딕" w:eastAsia="맑은 고딕"/>
                <w:sz w:val="19"/>
              </w:rPr>
              <w:t>kangsan-architecture.netlify.app</w:t>
            </w:r>
          </w:p>
        </w:tc>
      </w:tr>
    </w:tbl>
    <w:p>
      <w:r>
        <w:rPr>
          <w:rFonts w:ascii="맑은 고딕" w:hAnsi="맑은 고딕" w:eastAsia="맑은 고딕"/>
          <w:b/>
          <w:sz w:val="21"/>
        </w:rPr>
        <w:t>한 줄 소개 — 울산 소재 인테리어·건축 디자인 업체로, 자체 AI 업무시스템(ERP)을 직접 개발·운영하며 견적·현장관리·마케팅을 AI로 자동화하고 있는 혁신 소상공인.</w:t>
      </w:r>
    </w:p>
    <w:p>
      <w:pPr>
        <w:pStyle w:val="Heading1"/>
      </w:pPr>
      <w:r>
        <w:rPr>
          <w:rFonts w:ascii="맑은 고딕" w:hAnsi="맑은 고딕" w:eastAsia="맑은 고딕"/>
          <w:b/>
          <w:color w:val="8C6A3A"/>
          <w:sz w:val="28"/>
        </w:rPr>
        <w:t>1. 사업 추진 배경 및 필요성</w:t>
      </w:r>
    </w:p>
    <w:p>
      <w:pPr>
        <w:pStyle w:val="Heading2"/>
      </w:pPr>
      <w:r>
        <w:rPr>
          <w:rFonts w:ascii="맑은 고딕" w:hAnsi="맑은 고딕" w:eastAsia="맑은 고딕"/>
          <w:b/>
          <w:sz w:val="24"/>
        </w:rPr>
        <w:t>문제 정의</w:t>
      </w:r>
    </w:p>
    <w:p>
      <w:pPr>
        <w:pStyle w:val="ListBullet"/>
      </w:pPr>
      <w:r>
        <w:rPr>
          <w:rFonts w:ascii="맑은 고딕" w:hAnsi="맑은 고딕" w:eastAsia="맑은 고딕"/>
          <w:sz w:val="21"/>
        </w:rPr>
        <w:t>중소 인테리어·건설업은 견적 산출, 현장별 손익 관리, 자재·노무 관리에 막대한 수작업이 들고, 그 부재로 적자 현장을 모른 채 진행해 흑자도산하는 일이 흔하다.</w:t>
      </w:r>
    </w:p>
    <w:p>
      <w:pPr>
        <w:pStyle w:val="ListBullet"/>
      </w:pPr>
      <w:r>
        <w:rPr>
          <w:rFonts w:ascii="맑은 고딕" w:hAnsi="맑은 고딕" w:eastAsia="맑은 고딕"/>
          <w:sz w:val="21"/>
        </w:rPr>
        <w:t>시중 ERP(더존·이카운트 등)는 중소 인테리어 업체에 과하고 비싸며, 업종 특화·AI 기능이 없다.</w:t>
      </w:r>
    </w:p>
    <w:p>
      <w:pPr>
        <w:pStyle w:val="Heading2"/>
      </w:pPr>
      <w:r>
        <w:rPr>
          <w:rFonts w:ascii="맑은 고딕" w:hAnsi="맑은 고딕" w:eastAsia="맑은 고딕"/>
          <w:b/>
          <w:sz w:val="24"/>
        </w:rPr>
        <w:t>강산의 대응 (이미 실행 중)</w:t>
      </w:r>
    </w:p>
    <w:p>
      <w:r>
        <w:rPr>
          <w:rFonts w:ascii="맑은 고딕" w:hAnsi="맑은 고딕" w:eastAsia="맑은 고딕"/>
          <w:b w:val="0"/>
          <w:sz w:val="21"/>
        </w:rPr>
        <w:t>강산은 이 문제를 AI로 직접 풀어왔다. 견적·현장 손익·자재·노무·마케팅을 AI로 자동화한 자체 ERP를 구축·운영하고 있으며, 본 사업은 이를 상용 SaaS 제품으로 고도화·사업화하기 위한 것이다.</w:t>
      </w:r>
    </w:p>
    <w:p>
      <w:r>
        <w:rPr>
          <w:rFonts w:ascii="맑은 고딕" w:hAnsi="맑은 고딕" w:eastAsia="맑은 고딕"/>
          <w:b/>
          <w:sz w:val="21"/>
        </w:rPr>
        <w:t>※ 평가 포인트 — 대부분 신청자가 "AI를 앞으로 도입하겠다" 수준인 반면, 강산은 이미 AI를 만들어 매일 쓰고 있다.</w:t>
      </w:r>
    </w:p>
    <w:p>
      <w:pPr>
        <w:pStyle w:val="Heading1"/>
      </w:pPr>
      <w:r>
        <w:rPr>
          <w:rFonts w:ascii="맑은 고딕" w:hAnsi="맑은 고딕" w:eastAsia="맑은 고딕"/>
          <w:b/>
          <w:color w:val="8C6A3A"/>
          <w:sz w:val="28"/>
        </w:rPr>
        <w:t>2. AI 활용 현황 및 계획  〔평가: AI활용 적합성〕</w:t>
      </w:r>
    </w:p>
    <w:p>
      <w:pPr>
        <w:pStyle w:val="Heading2"/>
      </w:pPr>
      <w:r>
        <w:rPr>
          <w:rFonts w:ascii="맑은 고딕" w:hAnsi="맑은 고딕" w:eastAsia="맑은 고딕"/>
          <w:b/>
          <w:sz w:val="24"/>
        </w:rPr>
        <w:t>2-1. 현재 운영 중인 AI 활용 모델 (실적)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97"/>
        <w:gridCol w:w="3297"/>
        <w:gridCol w:w="3297"/>
      </w:tblGrid>
      <w:tr>
        <w:trPr>
          <w:cantSplit/>
        </w:trPr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영역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AI 활용 내용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상태</w:t>
            </w:r>
          </w:p>
        </w:tc>
      </w:tr>
      <w:tr>
        <w:trPr>
          <w:cantSplit/>
        </w:trPr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AI 견적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공간·평형·범위 입력 → 공정별 견적 자동 산출 (LLM + 자체 단가 DB)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운영 중</w:t>
            </w:r>
          </w:p>
        </w:tc>
      </w:tr>
      <w:tr>
        <w:trPr>
          <w:cantSplit/>
        </w:trPr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AI 블로그·마케팅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현장 사진 자동 분류 → 네이버 상위노출 최적화 글 자동 생성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운영 중</w:t>
            </w:r>
          </w:p>
        </w:tc>
      </w:tr>
      <w:tr>
        <w:trPr>
          <w:cantSplit/>
        </w:trPr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현장 손익 자동화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계약·실투입(자재·인건·외주) 자동 집계 → 현장별 손익·적자 경보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운영 중</w:t>
            </w:r>
          </w:p>
        </w:tc>
      </w:tr>
      <w:tr>
        <w:trPr>
          <w:cantSplit/>
        </w:trPr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자동 알림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내일 공정·미수금·적자 현장을 직원에게 자동 푸시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운영 중</w:t>
            </w:r>
          </w:p>
        </w:tc>
      </w:tr>
    </w:tbl>
    <w:p>
      <w:pPr>
        <w:pStyle w:val="Heading2"/>
      </w:pPr>
      <w:r>
        <w:rPr>
          <w:rFonts w:ascii="맑은 고딕" w:hAnsi="맑은 고딕" w:eastAsia="맑은 고딕"/>
          <w:b/>
          <w:sz w:val="24"/>
        </w:rPr>
        <w:t>2-2. 도입 필요성 및 전략</w:t>
      </w:r>
    </w:p>
    <w:p>
      <w:pPr>
        <w:pStyle w:val="ListBullet"/>
      </w:pPr>
      <w:r>
        <w:rPr>
          <w:rFonts w:ascii="맑은 고딕" w:hAnsi="맑은 고딕" w:eastAsia="맑은 고딕"/>
          <w:sz w:val="21"/>
        </w:rPr>
        <w:t>필요성 — 위 시스템을 강산 한 곳이 아니라 전국 중소 인테리어·건설 업체가 쓰도록 SaaS화하면, 업종 전체의 생산성 문제를 해결할 수 있다.</w:t>
      </w:r>
    </w:p>
    <w:p>
      <w:pPr>
        <w:pStyle w:val="ListBullet"/>
      </w:pPr>
      <w:r>
        <w:rPr>
          <w:rFonts w:ascii="맑은 고딕" w:hAnsi="맑은 고딕" w:eastAsia="맑은 고딕"/>
          <w:sz w:val="21"/>
        </w:rPr>
        <w:t>AI 활용 전략 — ① 견적·손익·문서에 맞춤형 AI 에이전트(RAG + 업종 단가·법규 데이터) 고도화 → ② 업체별 데이터로 개인화된 자동 견적·원가 예측 → ③ 마케팅 콘텐츠 자동화.</w:t>
      </w:r>
    </w:p>
    <w:p>
      <w:pPr>
        <w:pStyle w:val="Heading2"/>
      </w:pPr>
      <w:r>
        <w:rPr>
          <w:rFonts w:ascii="맑은 고딕" w:hAnsi="맑은 고딕" w:eastAsia="맑은 고딕"/>
          <w:b/>
          <w:sz w:val="24"/>
        </w:rPr>
        <w:t>2-3. 사업 프로세스 내 AI 적용 (적합성)</w:t>
      </w:r>
    </w:p>
    <w:p>
      <w:r>
        <w:rPr>
          <w:rFonts w:ascii="맑은 고딕" w:hAnsi="맑은 고딕" w:eastAsia="맑은 고딕"/>
          <w:b w:val="0"/>
          <w:sz w:val="21"/>
        </w:rPr>
        <w:t>견적 → 계약 → 현장 시공 → 손익 정산 → 마케팅의 전 업무 흐름에 AI가 이미 적용되어 있어, 적용 가능성·적합성이 검증되었다.</w:t>
      </w:r>
    </w:p>
    <w:p>
      <w:pPr>
        <w:pStyle w:val="Heading1"/>
      </w:pPr>
      <w:r>
        <w:rPr>
          <w:rFonts w:ascii="맑은 고딕" w:hAnsi="맑은 고딕" w:eastAsia="맑은 고딕"/>
          <w:b/>
          <w:color w:val="8C6A3A"/>
          <w:sz w:val="28"/>
        </w:rPr>
        <w:t>3. 사업화 모델 및 성장 전략  〔평가: 성장가능성〕</w:t>
      </w:r>
    </w:p>
    <w:p>
      <w:pPr>
        <w:pStyle w:val="Heading2"/>
      </w:pPr>
      <w:r>
        <w:rPr>
          <w:rFonts w:ascii="맑은 고딕" w:hAnsi="맑은 고딕" w:eastAsia="맑은 고딕"/>
          <w:b/>
          <w:sz w:val="24"/>
        </w:rPr>
        <w:t>3-1. 사업화 모델</w:t>
      </w:r>
    </w:p>
    <w:p>
      <w:r>
        <w:rPr>
          <w:rFonts w:ascii="맑은 고딕" w:hAnsi="맑은 고딕" w:eastAsia="맑은 고딕"/>
          <w:b w:val="0"/>
          <w:sz w:val="21"/>
        </w:rPr>
        <w:t>"중소 인테리어·건설 업체 전용 AI ERP(SaaS)" — 더존·이카운트가 과한 틈새를 겨냥한, 가볍고 저렴하며 AI 견적·현장 손익이 내장된 구독형 서비스.</w:t>
      </w:r>
    </w:p>
    <w:p>
      <w:pPr>
        <w:pStyle w:val="Heading2"/>
      </w:pPr>
      <w:r>
        <w:rPr>
          <w:rFonts w:ascii="맑은 고딕" w:hAnsi="맑은 고딕" w:eastAsia="맑은 고딕"/>
          <w:b/>
          <w:sz w:val="24"/>
        </w:rPr>
        <w:t>3-2. 본 사업으로 구현할 고도화 (사업모델 개선)</w:t>
      </w:r>
    </w:p>
    <w:p>
      <w:pPr>
        <w:pStyle w:val="ListBullet"/>
      </w:pPr>
      <w:r>
        <w:rPr>
          <w:rFonts w:ascii="맑은 고딕" w:hAnsi="맑은 고딕" w:eastAsia="맑은 고딕"/>
          <w:sz w:val="21"/>
        </w:rPr>
        <w:t>멀티테넌트(다중 업체) 구조 전환 → 여러 업체가 각자 데이터로 사용</w:t>
      </w:r>
    </w:p>
    <w:p>
      <w:pPr>
        <w:pStyle w:val="ListBullet"/>
      </w:pPr>
      <w:r>
        <w:rPr>
          <w:rFonts w:ascii="맑은 고딕" w:hAnsi="맑은 고딕" w:eastAsia="맑은 고딕"/>
          <w:sz w:val="21"/>
        </w:rPr>
        <w:t>AI 견적 정밀도 향상 (업종·지역별 단가 학습, 실투입 기반 원가 예측)</w:t>
      </w:r>
    </w:p>
    <w:p>
      <w:pPr>
        <w:pStyle w:val="ListBullet"/>
      </w:pPr>
      <w:r>
        <w:rPr>
          <w:rFonts w:ascii="맑은 고딕" w:hAnsi="맑은 고딕" w:eastAsia="맑은 고딕"/>
          <w:sz w:val="21"/>
        </w:rPr>
        <w:t>온보딩 자동화 (업체 가입 즉시 AI가 초기 세팅)</w:t>
      </w:r>
    </w:p>
    <w:p>
      <w:pPr>
        <w:pStyle w:val="Heading2"/>
      </w:pPr>
      <w:r>
        <w:rPr>
          <w:rFonts w:ascii="맑은 고딕" w:hAnsi="맑은 고딕" w:eastAsia="맑은 고딕"/>
          <w:b/>
          <w:sz w:val="24"/>
        </w:rPr>
        <w:t>3-3. 시장성·경쟁력</w:t>
      </w:r>
    </w:p>
    <w:p>
      <w:pPr>
        <w:pStyle w:val="ListBullet"/>
      </w:pPr>
      <w:r>
        <w:rPr>
          <w:rFonts w:ascii="맑은 고딕" w:hAnsi="맑은 고딕" w:eastAsia="맑은 고딕"/>
          <w:sz w:val="21"/>
        </w:rPr>
        <w:t>시장 — 전국 인테리어·실내건축·종합건설 소상공인은 수만 개 사업체(통계청 기준)이며, 대부분 엑셀·수기로 견적·정산을 관리해 ERP 도입률이 낮은 미개척 시장이다.</w:t>
      </w:r>
    </w:p>
    <w:p>
      <w:pPr>
        <w:pStyle w:val="ListBullet"/>
      </w:pPr>
      <w:r>
        <w:rPr>
          <w:rFonts w:ascii="맑은 고딕" w:hAnsi="맑은 고딕" w:eastAsia="맑은 고딕"/>
          <w:sz w:val="21"/>
        </w:rPr>
        <w:t>경쟁력 — ① 업종 당사자가 직접 만들어 현장에 딱 맞음 ② AI 견적·현장 손익 자동화가 핵심 차별점(대형 ERP에 없음) ③ 대형 ERP 대비 가벼움·가격 경쟁력(중소 전용).</w:t>
      </w:r>
    </w:p>
    <w:p>
      <w:pPr>
        <w:pStyle w:val="ListBullet"/>
      </w:pPr>
      <w:r>
        <w:rPr>
          <w:rFonts w:ascii="맑은 고딕" w:hAnsi="맑은 고딕" w:eastAsia="맑은 고딕"/>
          <w:sz w:val="21"/>
        </w:rPr>
        <w:t>성장 목표 — 1차연도 유료 가입 30개사·월 구독매출 약 600만원(객단가 월 20만원 기준), 2차연도 100개사 이상 확대를 목표로 한다. ※ 강산이 직접 운영하며 검증한 모델이라 초기 레퍼런스 확보가 용이하다.</w:t>
      </w:r>
    </w:p>
    <w:p>
      <w:pPr>
        <w:pStyle w:val="Heading1"/>
      </w:pPr>
      <w:r>
        <w:rPr>
          <w:rFonts w:ascii="맑은 고딕" w:hAnsi="맑은 고딕" w:eastAsia="맑은 고딕"/>
          <w:b/>
          <w:color w:val="8C6A3A"/>
          <w:sz w:val="28"/>
        </w:rPr>
        <w:t>4. 추진 역량 및 실행 계획  〔평가: 참여역량〕</w:t>
      </w:r>
    </w:p>
    <w:p>
      <w:pPr>
        <w:pStyle w:val="Heading2"/>
      </w:pPr>
      <w:r>
        <w:rPr>
          <w:rFonts w:ascii="맑은 고딕" w:hAnsi="맑은 고딕" w:eastAsia="맑은 고딕"/>
          <w:b/>
          <w:sz w:val="24"/>
        </w:rPr>
        <w:t>4-1. 수행 역량 (이미 입증됨)</w:t>
      </w:r>
    </w:p>
    <w:p>
      <w:pPr>
        <w:pStyle w:val="ListBullet"/>
      </w:pPr>
      <w:r>
        <w:rPr>
          <w:rFonts w:ascii="맑은 고딕" w:hAnsi="맑은 고딕" w:eastAsia="맑은 고딕"/>
          <w:sz w:val="21"/>
        </w:rPr>
        <w:t>자체 AI ERP를 직접 설계·개발·운영 중 — 외주 없이 AI 시스템을 만들어 본 실증 역량 보유.</w:t>
      </w:r>
    </w:p>
    <w:p>
      <w:pPr>
        <w:pStyle w:val="ListBullet"/>
      </w:pPr>
      <w:r>
        <w:rPr>
          <w:rFonts w:ascii="맑은 고딕" w:hAnsi="맑은 고딕" w:eastAsia="맑은 고딕"/>
          <w:sz w:val="21"/>
        </w:rPr>
        <w:t>인테리어·건축 현업 노하우 + AI 활용 역량을 동시에 가진 드문 업체.</w:t>
      </w:r>
    </w:p>
    <w:p>
      <w:pPr>
        <w:pStyle w:val="Heading2"/>
      </w:pPr>
      <w:r>
        <w:rPr>
          <w:rFonts w:ascii="맑은 고딕" w:hAnsi="맑은 고딕" w:eastAsia="맑은 고딕"/>
          <w:b/>
          <w:sz w:val="24"/>
        </w:rPr>
        <w:t>4-2. 추진 일정 (사업기간 ~2026.12)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97"/>
        <w:gridCol w:w="3297"/>
        <w:gridCol w:w="3297"/>
      </w:tblGrid>
      <w:tr>
        <w:trPr>
          <w:cantSplit/>
        </w:trPr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단계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내용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시기</w:t>
            </w:r>
          </w:p>
        </w:tc>
      </w:tr>
      <w:tr>
        <w:trPr>
          <w:cantSplit/>
        </w:trPr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AI 멘토링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AI 활용모델 구체화·고도화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7~8월</w:t>
            </w:r>
          </w:p>
        </w:tc>
      </w:tr>
      <w:tr>
        <w:trPr>
          <w:cantSplit/>
        </w:trPr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핵심 개발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멀티테넌트 전환·AI 견적 고도화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9~11월</w:t>
            </w:r>
          </w:p>
        </w:tc>
      </w:tr>
      <w:tr>
        <w:trPr>
          <w:cantSplit/>
        </w:trPr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시범 운영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시범 업체 [N]곳 도입·검증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11~12월</w:t>
            </w:r>
          </w:p>
        </w:tc>
      </w:tr>
      <w:tr>
        <w:trPr>
          <w:cantSplit/>
        </w:trPr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성과 정리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사업화 실적·경진대회 준비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12월</w:t>
            </w:r>
          </w:p>
        </w:tc>
      </w:tr>
    </w:tbl>
    <w:p>
      <w:pPr>
        <w:pStyle w:val="Heading2"/>
      </w:pPr>
      <w:r>
        <w:rPr>
          <w:rFonts w:ascii="맑은 고딕" w:hAnsi="맑은 고딕" w:eastAsia="맑은 고딕"/>
          <w:b/>
          <w:sz w:val="24"/>
        </w:rPr>
        <w:t>4-3. 사업계획의 구체성</w:t>
      </w:r>
    </w:p>
    <w:p>
      <w:r>
        <w:rPr>
          <w:rFonts w:ascii="맑은 고딕" w:hAnsi="맑은 고딕" w:eastAsia="맑은 고딕"/>
          <w:b w:val="0"/>
          <w:sz w:val="21"/>
        </w:rPr>
        <w:t>이미 작동하는 시스템이 있어, "새로 만드는" 것이 아니라 "검증된 것을 제품화"하는 것이므로 실행 위험이 낮고 구체적이다.</w:t>
      </w:r>
    </w:p>
    <w:p>
      <w:pPr>
        <w:pStyle w:val="Heading1"/>
      </w:pPr>
      <w:r>
        <w:rPr>
          <w:rFonts w:ascii="맑은 고딕" w:hAnsi="맑은 고딕" w:eastAsia="맑은 고딕"/>
          <w:b/>
          <w:color w:val="8C6A3A"/>
          <w:sz w:val="28"/>
        </w:rPr>
        <w:t>5. 사업비 집행 계획 (총 4,000만원 / 정부 3,200만 + 자부담 800만)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97"/>
        <w:gridCol w:w="3297"/>
        <w:gridCol w:w="3297"/>
      </w:tblGrid>
      <w:tr>
        <w:trPr>
          <w:cantSplit/>
        </w:trPr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집행항목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내용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금액(예시)</w:t>
            </w:r>
          </w:p>
        </w:tc>
      </w:tr>
      <w:tr>
        <w:trPr>
          <w:cantSplit/>
        </w:trPr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제품·서비스 고도화 용역비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멀티테넌트 구조 전환·AI 견적 고도화 개발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2,000만원</w:t>
            </w:r>
          </w:p>
        </w:tc>
      </w:tr>
      <w:tr>
        <w:trPr>
          <w:cantSplit/>
        </w:trPr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AI 활용 도입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LLM API(Claude 등)·AI 솔루션 도입·시스템 연계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800만원</w:t>
            </w:r>
          </w:p>
        </w:tc>
      </w:tr>
      <w:tr>
        <w:trPr>
          <w:cantSplit/>
        </w:trPr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홍보비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SaaS 출시 마케팅·콘텐츠 제작·광고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600만원</w:t>
            </w:r>
          </w:p>
        </w:tc>
      </w:tr>
      <w:tr>
        <w:trPr>
          <w:cantSplit/>
        </w:trPr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전문가 활용비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보안·개인정보·법무·세무 자문 수수료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400만원</w:t>
            </w:r>
          </w:p>
        </w:tc>
      </w:tr>
      <w:tr>
        <w:trPr>
          <w:cantSplit/>
        </w:trPr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수수료·사용료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클라우드 사용료·산업재산권 취득 등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200만원</w:t>
            </w:r>
          </w:p>
        </w:tc>
      </w:tr>
      <w:tr>
        <w:trPr>
          <w:cantSplit/>
        </w:trPr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합계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정부지원금 3,200만 + 자부담 800만</w:t>
            </w:r>
          </w:p>
        </w:tc>
        <w:tc>
          <w:tcPr>
            <w:tcW w:type="dxa" w:w="3297"/>
          </w:tcPr>
          <w:p>
            <w:r/>
            <w:r>
              <w:rPr>
                <w:rFonts w:ascii="맑은 고딕" w:hAnsi="맑은 고딕" w:eastAsia="맑은 고딕"/>
                <w:sz w:val="19"/>
              </w:rPr>
              <w:t>4,000만원</w:t>
            </w:r>
          </w:p>
        </w:tc>
      </w:tr>
    </w:tbl>
    <w:p>
      <w:r>
        <w:rPr>
          <w:rFonts w:ascii="맑은 고딕" w:hAnsi="맑은 고딕" w:eastAsia="맑은 고딕"/>
          <w:b w:val="0"/>
          <w:sz w:val="21"/>
        </w:rPr>
        <w:t>※ 부가세(10%)는 사업비 집행 불가, 증빙은 사업비카드·세금계산서 원칙. 자부담 800만은 본인 인건비·임차비 등으로 인정 가능.</w:t>
      </w:r>
    </w:p>
    <w:p>
      <w:pPr>
        <w:pStyle w:val="Heading1"/>
      </w:pPr>
      <w:r>
        <w:rPr>
          <w:rFonts w:ascii="맑은 고딕" w:hAnsi="맑은 고딕" w:eastAsia="맑은 고딕"/>
          <w:b/>
          <w:color w:val="8C6A3A"/>
          <w:sz w:val="28"/>
        </w:rPr>
        <w:t>6. 기대효과</w:t>
      </w:r>
    </w:p>
    <w:p>
      <w:pPr>
        <w:pStyle w:val="ListBullet"/>
      </w:pPr>
      <w:r>
        <w:rPr>
          <w:rFonts w:ascii="맑은 고딕" w:hAnsi="맑은 고딕" w:eastAsia="맑은 고딕"/>
          <w:sz w:val="21"/>
        </w:rPr>
        <w:t>(강산) 인테리어 업체 → AI SaaS 기업으로 사업 확장, 신규 구독 매출 창출</w:t>
      </w:r>
    </w:p>
    <w:p>
      <w:pPr>
        <w:pStyle w:val="ListBullet"/>
      </w:pPr>
      <w:r>
        <w:rPr>
          <w:rFonts w:ascii="맑은 고딕" w:hAnsi="맑은 고딕" w:eastAsia="맑은 고딕"/>
          <w:sz w:val="21"/>
        </w:rPr>
        <w:t>(업종) 전국 중소 인테리어·건설 업체의 견적·원가·마케팅 자동화 → 생산성·수익성 개선, 흑자도산 예방</w:t>
      </w:r>
    </w:p>
    <w:p>
      <w:pPr>
        <w:pStyle w:val="ListBullet"/>
      </w:pPr>
      <w:r>
        <w:rPr>
          <w:rFonts w:ascii="맑은 고딕" w:hAnsi="맑은 고딕" w:eastAsia="맑은 고딕"/>
          <w:sz w:val="21"/>
        </w:rPr>
        <w:t>(고용·지역) 울산 기반 AI 서비스 기업으로 성장, 개발·운영 일자리 창출</w:t>
      </w:r>
    </w:p>
    <w:p>
      <w:r>
        <w:br w:type="page"/>
      </w:r>
    </w:p>
    <w:p>
      <w:pPr>
        <w:pStyle w:val="Heading1"/>
      </w:pPr>
      <w:r>
        <w:rPr>
          <w:rFonts w:ascii="맑은 고딕" w:hAnsi="맑은 고딕" w:eastAsia="맑은 고딕"/>
          <w:b/>
          <w:color w:val="8C6A3A"/>
          <w:sz w:val="28"/>
        </w:rPr>
        <w:t>[첨부] 운영 중인 AI ERP 시스템 화면 (실제 캡처)</w:t>
      </w:r>
    </w:p>
    <w:p>
      <w:r>
        <w:rPr>
          <w:rFonts w:ascii="맑은 고딕" w:hAnsi="맑은 고딕" w:eastAsia="맑은 고딕"/>
          <w:b/>
          <w:sz w:val="21"/>
        </w:rPr>
        <w:t>아래는 강산건축디자인이 현재 직접 개발·운영 중인 AI ERP의 실제 화면입니다. "계획"이 아니라 "이미 작동하는 시스템"임을 입증합니다.</w:t>
      </w:r>
    </w:p>
    <w:p>
      <w:r>
        <w:br w:type="page"/>
      </w:r>
    </w:p>
    <w:p>
      <w:pPr>
        <w:spacing w:after="80"/>
      </w:pPr>
      <w:r>
        <w:rPr>
          <w:rFonts w:ascii="맑은 고딕" w:hAnsi="맑은 고딕" w:eastAsia="맑은 고딕"/>
          <w:b/>
          <w:color w:val="8C6A3A"/>
          <w:sz w:val="19"/>
        </w:rPr>
        <w:t>① 대시보드 — KPI·미수금·현장 공정률·일정을 AI가 자동 집계(실데이터)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25312" cy="82296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_대시보드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25312" cy="8229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</w:pPr>
      <w:r>
        <w:rPr>
          <w:rFonts w:ascii="맑은 고딕" w:hAnsi="맑은 고딕" w:eastAsia="맑은 고딕"/>
          <w:b/>
          <w:color w:val="8C6A3A"/>
          <w:sz w:val="19"/>
        </w:rPr>
        <w:t>② 현장 손익(핵심) — 계약·실투입·일용직 노무 자동 집계 → 현장별 손익·마진율·적자 경보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25312" cy="82296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_현장손익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25312" cy="8229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</w:pPr>
      <w:r>
        <w:rPr>
          <w:rFonts w:ascii="맑은 고딕" w:hAnsi="맑은 고딕" w:eastAsia="맑은 고딕"/>
          <w:b/>
          <w:color w:val="8C6A3A"/>
          <w:sz w:val="19"/>
        </w:rPr>
        <w:t>③ 매출·자금흐름 — 월별/연도별 매출·흑자, 현장별 손익 자동 연동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6480" cy="408432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_매출_자금흐름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40843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</w:pPr>
      <w:r>
        <w:rPr>
          <w:rFonts w:ascii="맑은 고딕" w:hAnsi="맑은 고딕" w:eastAsia="맑은 고딕"/>
          <w:b/>
          <w:color w:val="8C6A3A"/>
          <w:sz w:val="19"/>
        </w:rPr>
        <w:t>④ 자재·재고 — 단가표 + 입출고 자동 집계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467399" cy="822959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_자재_재고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67399" cy="82295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</w:pPr>
      <w:r>
        <w:rPr>
          <w:rFonts w:ascii="맑은 고딕" w:hAnsi="맑은 고딕" w:eastAsia="맑은 고딕"/>
          <w:b/>
          <w:color w:val="8C6A3A"/>
          <w:sz w:val="19"/>
        </w:rPr>
        <w:t>⑤ AI 블로그·마케팅 — 현장 사진 분류·상위노출 글 자동 생성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6480" cy="666561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_블로그_AI마케팅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66656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</w:pPr>
      <w:r>
        <w:rPr>
          <w:rFonts w:ascii="맑은 고딕" w:hAnsi="맑은 고딕" w:eastAsia="맑은 고딕"/>
          <w:b/>
          <w:color w:val="8C6A3A"/>
          <w:sz w:val="19"/>
        </w:rPr>
        <w:t>⑥ 통계·리포트 — 수주·매출·고객 분석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6480" cy="408432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_통계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408432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rFonts w:ascii="맑은 고딕" w:hAnsi="맑은 고딕" w:eastAsia="맑은 고딕"/>
          <w:b w:val="0"/>
          <w:sz w:val="18"/>
        </w:rPr>
        <w:t>※ 안내 — 연매출·상시근로자 등 사실 항목은 거짓 기재 시 선정취소·환수 대상이므로 반드시 실제 값으로 채우세요. 본 문서의 계획·목표·예산은 합리적 추정이며 신청 전 검토 바랍니다.</w:t>
      </w:r>
    </w:p>
    <w:sectPr w:rsidR="00FC693F" w:rsidRPr="0006063C" w:rsidSect="00034616">
      <w:pgSz w:w="11906" w:h="16838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